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34159">
        <w:rPr>
          <w:rFonts w:ascii="Times New Roman" w:hAnsi="Times New Roman"/>
          <w:sz w:val="24"/>
          <w:szCs w:val="24"/>
          <w:lang w:val="uk-UA" w:eastAsia="uk-UA"/>
        </w:rPr>
        <w:t>5</w:t>
      </w:r>
      <w:r w:rsidR="00A80AB7">
        <w:rPr>
          <w:rFonts w:ascii="Times New Roman" w:hAnsi="Times New Roman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702048" w:rsidRDefault="00702048" w:rsidP="00702048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02048" w:rsidRDefault="00702048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42"/>
        <w:gridCol w:w="3088"/>
        <w:gridCol w:w="92"/>
        <w:gridCol w:w="5634"/>
      </w:tblGrid>
      <w:tr w:rsidR="00444B82" w:rsidRPr="00A80AB7" w:rsidTr="00D7543E">
        <w:trPr>
          <w:trHeight w:val="3454"/>
        </w:trPr>
        <w:tc>
          <w:tcPr>
            <w:tcW w:w="3630" w:type="dxa"/>
            <w:gridSpan w:val="2"/>
          </w:tcPr>
          <w:p w:rsidR="00444B82" w:rsidRPr="00BC5CF4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gridSpan w:val="2"/>
          </w:tcPr>
          <w:p w:rsidR="004D7080" w:rsidRPr="00BC5CF4" w:rsidRDefault="00444B82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ІНФОРМАЦІЙНА КАРТКА №</w:t>
            </w:r>
            <w:r w:rsid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09-</w:t>
            </w:r>
            <w:r w:rsidR="00A80A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53</w:t>
            </w:r>
            <w:r w:rsidR="00A24F18"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адміністративної послуги 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</w:t>
            </w:r>
            <w:r w:rsidR="00534159" w:rsidRPr="0053415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A80A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0122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  <w:p w:rsidR="004D7080" w:rsidRPr="00BC5CF4" w:rsidRDefault="004D7080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444B82" w:rsidRPr="00BC5CF4" w:rsidRDefault="00A80AB7" w:rsidP="00A80AB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A80A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444B82" w:rsidRPr="00BC5CF4" w:rsidTr="00921ABF">
        <w:trPr>
          <w:trHeight w:val="46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0C1FA1" w:rsidRPr="000C1FA1" w:rsidRDefault="000C1FA1" w:rsidP="000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C5CF4" w:rsidRDefault="000C1FA1" w:rsidP="000C1FA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464F6A" w:rsidRPr="00BC5CF4" w:rsidTr="00D7543E">
        <w:trPr>
          <w:trHeight w:val="23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E64B55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адання адміністративних послуг» в</w:t>
            </w: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’я</w:t>
            </w:r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йону Дніпропетровської області</w:t>
            </w:r>
          </w:p>
          <w:p w:rsidR="00464F6A" w:rsidRPr="00B4410E" w:rsidRDefault="00464F6A" w:rsidP="006E55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464F6A" w:rsidRPr="00BC5CF4" w:rsidTr="00D7543E">
        <w:trPr>
          <w:trHeight w:val="18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 w:rsidR="00C30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64F6A" w:rsidRPr="0045580E" w:rsidRDefault="00464F6A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464F6A" w:rsidRPr="0045580E" w:rsidRDefault="00464F6A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 w:rsidR="00155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464F6A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464F6A" w:rsidRDefault="00464F6A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464F6A" w:rsidRPr="00B4410E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="00155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464F6A" w:rsidRPr="00C80AAC" w:rsidRDefault="00464F6A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556" w:rsidRPr="00A92556" w:rsidRDefault="00A92556" w:rsidP="00A92556">
            <w:pPr>
              <w:ind w:left="51" w:hanging="5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віддалене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робоче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адміністратора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відділу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«Центр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надання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адміністративних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послуг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виконавчого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комітету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Вишнівської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селищної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ради при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Комісарівському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старостинському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окрузі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2B346B">
              <w:rPr>
                <w:rFonts w:ascii="Times New Roman" w:hAnsi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AF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DC28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четвер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A92556" w:rsidRPr="00DC28AF" w:rsidRDefault="00A92556" w:rsidP="00A9255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92556" w:rsidRPr="00DC28AF" w:rsidRDefault="00A92556" w:rsidP="00A92556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92556" w:rsidRDefault="00A92556" w:rsidP="00A92556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 w:rsidRPr="00DC28AF">
              <w:rPr>
                <w:rFonts w:ascii="Times New Roman" w:hAnsi="Times New Roman"/>
                <w:b/>
                <w:iCs/>
                <w:sz w:val="20"/>
              </w:rPr>
              <w:t>Тел.:</w:t>
            </w:r>
            <w:r w:rsidRPr="00DC28AF"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https</w:t>
            </w:r>
            <w:r w:rsidRPr="00DC28AF">
              <w:rPr>
                <w:b/>
                <w:iCs/>
                <w:sz w:val="20"/>
                <w:szCs w:val="22"/>
              </w:rPr>
              <w:t>//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_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@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Default="00A92556" w:rsidP="006B35F4">
            <w:pPr>
              <w:ind w:left="51" w:hanging="5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Вишнівської</w:t>
            </w:r>
            <w:proofErr w:type="spellEnd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селищної ради 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с.Лозуватка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2C3E52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52150,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Кам`янський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Лозуватка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Благодатна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17:00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16:00</w:t>
            </w:r>
          </w:p>
          <w:p w:rsidR="00A92556" w:rsidRPr="00A92556" w:rsidRDefault="00A92556" w:rsidP="006B3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12:00 до 12:48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Телефон, адреса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веб-сайт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Тел.: 050-563-85-25</w:t>
            </w:r>
          </w:p>
          <w:p w:rsidR="00A92556" w:rsidRPr="00A92556" w:rsidRDefault="00A92556" w:rsidP="006B35F4">
            <w:pPr>
              <w:pStyle w:val="login-buttonuser"/>
              <w:spacing w:before="0" w:beforeAutospacing="0" w:after="0" w:afterAutospacing="0"/>
              <w:rPr>
                <w:bCs/>
                <w:color w:val="646464"/>
              </w:rPr>
            </w:pPr>
            <w:r w:rsidRPr="00A92556">
              <w:rPr>
                <w:iCs/>
                <w:lang w:val="uk-UA"/>
              </w:rPr>
              <w:t xml:space="preserve">Веб-сайт: </w:t>
            </w:r>
            <w:r w:rsidRPr="00A92556">
              <w:rPr>
                <w:iCs/>
                <w:lang w:val="en-US"/>
              </w:rPr>
              <w:t>https</w:t>
            </w:r>
            <w:r w:rsidRPr="00A92556">
              <w:rPr>
                <w:iCs/>
              </w:rPr>
              <w:t>//</w:t>
            </w:r>
            <w:proofErr w:type="spellStart"/>
            <w:r w:rsidRPr="00A92556">
              <w:rPr>
                <w:iCs/>
                <w:lang w:val="en-US"/>
              </w:rPr>
              <w:t>vishneve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otg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dp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gov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  <w:r w:rsidRPr="00A92556">
              <w:rPr>
                <w:iCs/>
              </w:rPr>
              <w:t>./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cnap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vishneve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444B82" w:rsidRPr="00BC5CF4" w:rsidTr="00921ABF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RPr="001B1ABB" w:rsidTr="009D41FA">
        <w:trPr>
          <w:trHeight w:val="114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444B82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2" w:colLast="2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0C1FA1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2A" w:rsidRPr="0039552A" w:rsidRDefault="0039552A" w:rsidP="0039552A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ind w:left="27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Кодекс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16.01.2003 №435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Цивільний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ст. 1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ind w:left="27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</w:pPr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Кодекс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18.03.2004 №1618-IV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Цивільний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процесуальний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ст. 299, ст. 300</w:t>
            </w:r>
          </w:p>
          <w:p w:rsidR="00C300F8" w:rsidRPr="00977DDC" w:rsidRDefault="0039552A" w:rsidP="0039552A">
            <w:pPr>
              <w:numPr>
                <w:ilvl w:val="0"/>
                <w:numId w:val="3"/>
              </w:numPr>
              <w:tabs>
                <w:tab w:val="left" w:pos="247"/>
              </w:tabs>
              <w:ind w:left="27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Наказ ЦОВВ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26.05.1999 №34/166/131/88 "Про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опіки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”</w:t>
            </w:r>
          </w:p>
        </w:tc>
      </w:tr>
      <w:bookmarkEnd w:id="0"/>
      <w:tr w:rsidR="00444B82" w:rsidRPr="00BC5CF4" w:rsidTr="00921ABF">
        <w:tc>
          <w:tcPr>
            <w:tcW w:w="9356" w:type="dxa"/>
            <w:gridSpan w:val="4"/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444B82" w:rsidRPr="001B1ABB" w:rsidTr="00D7543E"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одержання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vAlign w:val="center"/>
          </w:tcPr>
          <w:p w:rsidR="0039552A" w:rsidRPr="0039552A" w:rsidRDefault="0039552A" w:rsidP="0039552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Опіка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встановлюється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 особами,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судом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визнані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недієздатними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особа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визнана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судом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недієздатною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вона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внаслідок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хронічного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стійкого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психічного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розладу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здатна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усвідомлювати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своїх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дій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(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керувати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ними. </w:t>
            </w:r>
          </w:p>
          <w:p w:rsidR="00444B82" w:rsidRPr="0039552A" w:rsidRDefault="0039552A" w:rsidP="0039552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визнання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недієздатною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майбутній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опікун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має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подати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заяву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до суду</w:t>
            </w:r>
            <w:proofErr w:type="gram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Суд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призначає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опікуна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підставі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органу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опіки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44B82" w:rsidRPr="00A80AB7" w:rsidTr="00D7543E">
        <w:trPr>
          <w:trHeight w:val="2117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60D7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них</w:t>
            </w:r>
          </w:p>
        </w:tc>
        <w:tc>
          <w:tcPr>
            <w:tcW w:w="5634" w:type="dxa"/>
            <w:vAlign w:val="center"/>
          </w:tcPr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Заява для отримання подання про можливість призначення її опікуном або піклувальником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Копія рішення/ ухвали суду про визнання потенційного підопічного недієздатною особою або про обмеження його цивільної дієздатності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Ухвала суду про відкриття провадження у справі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Копії паспортів потенційного опікуна / піклувальника і підопічного (з пред’явленням оригіналу)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Акти обстеження житлових умов потенційного опікуна / піклувальника та підопічного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склад сім’ї або зареєстрованих у житловому приміщенні / будинку осіб (потенційного опікуна / піклувальника та підопічного)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про стан здоров’я потенційного опікуна / піклувальника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відсутність судимості потенційного опікуна / піклувальника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Довідка про дохід з місця роботи потенційного опікуна / піклувальника за останні 6 місяців або декларація про доходи за останній рік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Копії документів, які підтверджують родинні відносини потенційного опікуна / піклувальника та підопічного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Заяви повнолітніх членів сім’ї, які проживають разом із потенційним опікуном / піклувальником про надання згоди на призначення його опікуном / піклувальником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Копія правовстановлюючого документа, що підтверджує право власності підопічного на майно (у разі наявності майна)</w:t>
            </w:r>
          </w:p>
          <w:p w:rsidR="00444B82" w:rsidRPr="00534159" w:rsidRDefault="0039552A" w:rsidP="0039552A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Довідка із закладу охорони здоров’я (якщо перебуває на лікуванні)</w:t>
            </w:r>
          </w:p>
        </w:tc>
      </w:tr>
      <w:tr w:rsidR="00444B82" w:rsidRPr="00A80AB7" w:rsidTr="00D7543E">
        <w:trPr>
          <w:trHeight w:val="1172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Порядок та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444B82" w:rsidRPr="00534159" w:rsidRDefault="0039552A" w:rsidP="003955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Подати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отримання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заявник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особисто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через законного </w:t>
            </w:r>
            <w:proofErr w:type="spellStart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представника</w:t>
            </w:r>
            <w:proofErr w:type="spellEnd"/>
            <w:r w:rsidRPr="0039552A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534159" w:rsidRPr="001B1ABB" w:rsidTr="000E3CAF">
        <w:trPr>
          <w:trHeight w:val="29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DD1E2E" w:rsidRDefault="00534159" w:rsidP="005341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534159" w:rsidRPr="001B1ABB" w:rsidTr="000E3CAF">
        <w:trPr>
          <w:trHeight w:val="831"/>
        </w:trPr>
        <w:tc>
          <w:tcPr>
            <w:tcW w:w="542" w:type="dxa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39552A" w:rsidRDefault="0039552A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 календарних днів</w:t>
            </w:r>
          </w:p>
        </w:tc>
      </w:tr>
      <w:tr w:rsidR="00921ABF" w:rsidRPr="001B1ABB" w:rsidTr="00D7543E">
        <w:trPr>
          <w:trHeight w:val="429"/>
        </w:trPr>
        <w:tc>
          <w:tcPr>
            <w:tcW w:w="542" w:type="dxa"/>
          </w:tcPr>
          <w:p w:rsidR="00921ABF" w:rsidRPr="001B1ABB" w:rsidRDefault="00961478" w:rsidP="00087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921ABF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921ABF" w:rsidRPr="001B1ABB" w:rsidRDefault="00921ABF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</w:tcPr>
          <w:p w:rsidR="0039552A" w:rsidRPr="0039552A" w:rsidRDefault="0039552A" w:rsidP="0039552A">
            <w:pPr>
              <w:pStyle w:val="a4"/>
              <w:numPr>
                <w:ilvl w:val="0"/>
                <w:numId w:val="10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Подання неповного пакету документів</w:t>
            </w:r>
          </w:p>
          <w:p w:rsidR="0039552A" w:rsidRPr="0039552A" w:rsidRDefault="0039552A" w:rsidP="0039552A">
            <w:pPr>
              <w:pStyle w:val="a4"/>
              <w:numPr>
                <w:ilvl w:val="0"/>
                <w:numId w:val="10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Подання недостовірних даних</w:t>
            </w:r>
          </w:p>
          <w:p w:rsidR="00921ABF" w:rsidRPr="0039552A" w:rsidRDefault="0039552A" w:rsidP="0039552A">
            <w:pPr>
              <w:pStyle w:val="a4"/>
              <w:numPr>
                <w:ilvl w:val="0"/>
                <w:numId w:val="10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Невідповідність поданих документів вимогам чинного </w:t>
            </w:r>
            <w:proofErr w:type="spellStart"/>
            <w:r w:rsidRPr="0039552A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</w:tr>
      <w:tr w:rsidR="00534159" w:rsidRPr="001B1ABB" w:rsidTr="00580806">
        <w:trPr>
          <w:trHeight w:val="3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552A" w:rsidRPr="0039552A" w:rsidRDefault="0039552A" w:rsidP="0039552A">
            <w:pPr>
              <w:pStyle w:val="a4"/>
              <w:numPr>
                <w:ilvl w:val="0"/>
                <w:numId w:val="11"/>
              </w:numPr>
              <w:ind w:left="27" w:right="10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особі подання про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опікуном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піклувальником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повнолітньої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недієздатної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особи, цивільна дієздатність якої обмежена</w:t>
            </w:r>
          </w:p>
          <w:p w:rsidR="00534159" w:rsidRPr="0039552A" w:rsidRDefault="0039552A" w:rsidP="0039552A">
            <w:pPr>
              <w:pStyle w:val="a4"/>
              <w:numPr>
                <w:ilvl w:val="0"/>
                <w:numId w:val="11"/>
              </w:numPr>
              <w:ind w:left="27" w:right="10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Відмова у видачі особі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вищезазначеного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</w:tr>
      <w:tr w:rsidR="00534159" w:rsidRPr="001B1ABB" w:rsidTr="00580806">
        <w:trPr>
          <w:trHeight w:val="7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DD1E2E" w:rsidRDefault="0039552A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Отримати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через законного </w:t>
            </w:r>
            <w:proofErr w:type="spellStart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3955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977DDC" w:rsidRDefault="00977DDC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690C" w:rsidRPr="00444B82" w:rsidRDefault="00BF1EE3" w:rsidP="00CF587A">
      <w:pPr>
        <w:rPr>
          <w:lang w:val="uk-UA"/>
        </w:rPr>
      </w:pP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</w:t>
      </w:r>
      <w:r w:rsidR="000C1FA1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        Вікторія ГОРДІЄНКО</w:t>
      </w:r>
    </w:p>
    <w:sectPr w:rsidR="0075690C" w:rsidRPr="00444B82" w:rsidSect="00BC5C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0393C"/>
    <w:multiLevelType w:val="hybridMultilevel"/>
    <w:tmpl w:val="8124C724"/>
    <w:lvl w:ilvl="0" w:tplc="F3E40F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560"/>
    <w:multiLevelType w:val="hybridMultilevel"/>
    <w:tmpl w:val="29DC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78C"/>
    <w:multiLevelType w:val="hybridMultilevel"/>
    <w:tmpl w:val="F5D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0071848"/>
    <w:multiLevelType w:val="hybridMultilevel"/>
    <w:tmpl w:val="7A36E35A"/>
    <w:lvl w:ilvl="0" w:tplc="14E848C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6" w15:restartNumberingAfterBreak="0">
    <w:nsid w:val="530F1ABF"/>
    <w:multiLevelType w:val="hybridMultilevel"/>
    <w:tmpl w:val="B538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1C87"/>
    <w:multiLevelType w:val="hybridMultilevel"/>
    <w:tmpl w:val="2F5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66FD"/>
    <w:multiLevelType w:val="hybridMultilevel"/>
    <w:tmpl w:val="8DFA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EF4"/>
    <w:multiLevelType w:val="hybridMultilevel"/>
    <w:tmpl w:val="B57019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6CEE408C"/>
    <w:multiLevelType w:val="hybridMultilevel"/>
    <w:tmpl w:val="EF56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8428C"/>
    <w:rsid w:val="000C1FA1"/>
    <w:rsid w:val="000C20DB"/>
    <w:rsid w:val="00155F26"/>
    <w:rsid w:val="001B1ABB"/>
    <w:rsid w:val="001C6B8B"/>
    <w:rsid w:val="00231140"/>
    <w:rsid w:val="00285146"/>
    <w:rsid w:val="002C3E52"/>
    <w:rsid w:val="002E784B"/>
    <w:rsid w:val="002F37CB"/>
    <w:rsid w:val="0039552A"/>
    <w:rsid w:val="00441C77"/>
    <w:rsid w:val="00444B82"/>
    <w:rsid w:val="00464F6A"/>
    <w:rsid w:val="00486DCA"/>
    <w:rsid w:val="004C05E7"/>
    <w:rsid w:val="004D7080"/>
    <w:rsid w:val="00534159"/>
    <w:rsid w:val="005661F7"/>
    <w:rsid w:val="005A4B55"/>
    <w:rsid w:val="006C3F3F"/>
    <w:rsid w:val="006D2999"/>
    <w:rsid w:val="006E5597"/>
    <w:rsid w:val="00702048"/>
    <w:rsid w:val="0073131F"/>
    <w:rsid w:val="0075690C"/>
    <w:rsid w:val="007B730A"/>
    <w:rsid w:val="008760D7"/>
    <w:rsid w:val="008809A2"/>
    <w:rsid w:val="00881F2A"/>
    <w:rsid w:val="008A47F5"/>
    <w:rsid w:val="008E7461"/>
    <w:rsid w:val="00921ABF"/>
    <w:rsid w:val="00961478"/>
    <w:rsid w:val="00977DDC"/>
    <w:rsid w:val="0099409E"/>
    <w:rsid w:val="009A12EA"/>
    <w:rsid w:val="009D41FA"/>
    <w:rsid w:val="009E3403"/>
    <w:rsid w:val="00A24F18"/>
    <w:rsid w:val="00A80AB7"/>
    <w:rsid w:val="00A92556"/>
    <w:rsid w:val="00AA2073"/>
    <w:rsid w:val="00BC5CF4"/>
    <w:rsid w:val="00BD4140"/>
    <w:rsid w:val="00BF1EE3"/>
    <w:rsid w:val="00C2142C"/>
    <w:rsid w:val="00C300F8"/>
    <w:rsid w:val="00C70EEE"/>
    <w:rsid w:val="00CB7D3F"/>
    <w:rsid w:val="00CF587A"/>
    <w:rsid w:val="00D03CA5"/>
    <w:rsid w:val="00D35429"/>
    <w:rsid w:val="00D7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7F1F0-7FAB-4A23-A2E2-2165938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rsid w:val="00CF587A"/>
    <w:rPr>
      <w:color w:val="0000FF"/>
      <w:u w:val="single"/>
    </w:rPr>
  </w:style>
  <w:style w:type="character" w:customStyle="1" w:styleId="s3">
    <w:name w:val="s3"/>
    <w:basedOn w:val="a0"/>
    <w:rsid w:val="00CF587A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CF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CF587A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0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2023-07-28T09:36:00Z</cp:lastPrinted>
  <dcterms:created xsi:type="dcterms:W3CDTF">2024-01-02T10:12:00Z</dcterms:created>
  <dcterms:modified xsi:type="dcterms:W3CDTF">2024-01-02T10:22:00Z</dcterms:modified>
</cp:coreProperties>
</file>