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11745F" w:rsidP="0011745F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ru-RU" w:eastAsia="uk-UA"/>
        </w:rPr>
        <w:t xml:space="preserve">  </w:t>
      </w:r>
      <w:r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11745F" w:rsidP="0011745F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11745F" w:rsidP="0011745F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політики  України </w:t>
      </w:r>
    </w:p>
    <w:p w:rsidR="00DA48AD" w:rsidRPr="00DA48AD" w:rsidP="00DA48AD">
      <w:pPr>
        <w:bidi w:val="0"/>
        <w:ind w:left="6521"/>
        <w:jc w:val="left"/>
        <w:rPr>
          <w:rFonts w:ascii="Times New Roman" w:hAnsi="Times New Roman"/>
          <w:sz w:val="24"/>
          <w:szCs w:val="24"/>
          <w:lang w:eastAsia="uk-UA"/>
        </w:rPr>
      </w:pPr>
      <w:r w:rsidRPr="00DA48AD">
        <w:rPr>
          <w:rFonts w:ascii="Times New Roman" w:hAnsi="Times New Roman"/>
          <w:sz w:val="24"/>
          <w:szCs w:val="24"/>
          <w:u w:val="single"/>
          <w:lang w:eastAsia="uk-UA"/>
        </w:rPr>
        <w:t>30.10.2023</w:t>
      </w:r>
      <w:r w:rsidRPr="00DA48AD"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Pr="00DA48AD">
        <w:rPr>
          <w:rFonts w:ascii="Times New Roman" w:hAnsi="Times New Roman"/>
          <w:sz w:val="24"/>
          <w:szCs w:val="24"/>
          <w:u w:val="single"/>
          <w:lang w:eastAsia="uk-UA"/>
        </w:rPr>
        <w:t>413-Н</w:t>
      </w:r>
    </w:p>
    <w:p w:rsidR="0011745F" w:rsidP="0011745F">
      <w:pPr>
        <w:bidi w:val="0"/>
        <w:ind w:left="6521"/>
        <w:jc w:val="left"/>
        <w:rPr>
          <w:rFonts w:ascii="Times New Roman" w:hAnsi="Times New Roman"/>
          <w:b/>
          <w:sz w:val="26"/>
          <w:szCs w:val="26"/>
          <w:lang w:eastAsia="uk-UA"/>
        </w:rPr>
      </w:pPr>
    </w:p>
    <w:p w:rsidR="0053319B" w:rsidRPr="0049180F" w:rsidP="00CC122F">
      <w:pPr>
        <w:bidi w:val="0"/>
        <w:jc w:val="center"/>
        <w:rPr>
          <w:rFonts w:ascii="Times New Roman" w:hAnsi="Times New Roman"/>
          <w:b/>
          <w:sz w:val="24"/>
          <w:lang w:eastAsia="uk-UA"/>
        </w:rPr>
      </w:pPr>
    </w:p>
    <w:p w:rsidR="0053319B" w:rsidRPr="0049180F" w:rsidP="00CC122F">
      <w:pPr>
        <w:bidi w:val="0"/>
        <w:jc w:val="center"/>
        <w:rPr>
          <w:rFonts w:ascii="Times New Roman" w:hAnsi="Times New Roman"/>
          <w:b/>
          <w:sz w:val="24"/>
          <w:lang w:eastAsia="uk-UA"/>
        </w:rPr>
      </w:pPr>
    </w:p>
    <w:p w:rsidR="00CC122F" w:rsidRPr="0049180F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49180F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B32BFF">
        <w:rPr>
          <w:rFonts w:ascii="Times New Roman" w:hAnsi="Times New Roman"/>
          <w:b/>
          <w:sz w:val="24"/>
          <w:szCs w:val="24"/>
          <w:lang w:eastAsia="uk-UA"/>
        </w:rPr>
        <w:t>09-30</w:t>
      </w:r>
    </w:p>
    <w:p w:rsidR="009A498B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49180F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49180F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49180F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49180F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49180F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49180F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  <w:r w:rsidR="00B32BFF">
        <w:rPr>
          <w:rFonts w:ascii="Times New Roman" w:hAnsi="Times New Roman"/>
          <w:b/>
          <w:sz w:val="24"/>
          <w:szCs w:val="24"/>
          <w:lang w:eastAsia="uk-UA"/>
        </w:rPr>
        <w:t>(00224)</w:t>
      </w:r>
    </w:p>
    <w:p w:rsidR="00B32BFF" w:rsidRPr="0049180F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165266" w:rsidP="00165266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49180F" w:rsidR="00FE1841">
        <w:rPr>
          <w:rFonts w:ascii="Times New Roman" w:hAnsi="Times New Roman"/>
          <w:b/>
          <w:bCs/>
          <w:sz w:val="24"/>
          <w:szCs w:val="24"/>
          <w:lang w:eastAsia="uk-UA"/>
        </w:rPr>
        <w:t>„</w:t>
      </w:r>
      <w:r w:rsidRPr="0049180F">
        <w:rPr>
          <w:rFonts w:ascii="Times New Roman" w:hAnsi="Times New Roman"/>
          <w:b/>
          <w:bCs/>
          <w:sz w:val="24"/>
          <w:szCs w:val="24"/>
          <w:lang w:eastAsia="uk-UA"/>
        </w:rPr>
        <w:t>ПРИЗНАЧЕННЯ ГРОШОВОЇ КОМПЕНСАЦІЇ</w:t>
      </w:r>
      <w:r w:rsidRPr="0049180F" w:rsidR="0053319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49180F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ЗАМІСТЬ САНАТОРНО-КУРОРТНОЇ ПУТІВКИ ГРОМАДЯНАМ, ЯКІ ПОСТРАЖДАЛИ ВНАСЛІДОК </w:t>
      </w:r>
      <w:r w:rsidRPr="0049180F" w:rsidR="0053319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Ч</w:t>
      </w:r>
      <w:r w:rsidRPr="0049180F">
        <w:rPr>
          <w:rFonts w:ascii="Times New Roman" w:hAnsi="Times New Roman"/>
          <w:b/>
          <w:bCs/>
          <w:sz w:val="24"/>
          <w:szCs w:val="24"/>
          <w:lang w:eastAsia="uk-UA"/>
        </w:rPr>
        <w:t>ОРНОБИЛЬСЬКОЇ КАТАСТРОФИ</w:t>
      </w:r>
      <w:r w:rsidRPr="0049180F" w:rsidR="00FE1841">
        <w:rPr>
          <w:rFonts w:ascii="Times New Roman" w:hAnsi="Times New Roman"/>
          <w:b/>
          <w:bCs/>
          <w:sz w:val="24"/>
          <w:szCs w:val="24"/>
          <w:lang w:eastAsia="uk-UA"/>
        </w:rPr>
        <w:t>”</w:t>
      </w:r>
    </w:p>
    <w:p w:rsidR="00B32BFF" w:rsidRPr="0049180F" w:rsidP="00165266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B32BFF" w:rsidRPr="00B97686" w:rsidP="00B32BFF">
      <w:pPr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B97686">
        <w:rPr>
          <w:rFonts w:ascii="Times New Roman" w:hAnsi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5034B3" w:rsidRPr="0049180F" w:rsidP="00B32BFF">
      <w:pPr>
        <w:bidi w:val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uk-UA"/>
        </w:rPr>
      </w:pPr>
      <w:r w:rsidRPr="00B97686" w:rsidR="00B32BFF">
        <w:rPr>
          <w:rFonts w:ascii="Times New Roman" w:hAnsi="Times New Roman"/>
          <w:b/>
          <w:sz w:val="24"/>
          <w:szCs w:val="24"/>
          <w:lang w:eastAsia="uk-UA"/>
        </w:rPr>
        <w:t>Кам</w:t>
      </w:r>
      <w:r w:rsidRPr="00B97686" w:rsidR="00B32BFF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Pr="00B97686" w:rsidR="00B32BFF">
        <w:rPr>
          <w:rFonts w:ascii="Times New Roman" w:hAnsi="Times New Roman"/>
          <w:b/>
          <w:sz w:val="24"/>
          <w:szCs w:val="24"/>
          <w:lang w:eastAsia="uk-UA"/>
        </w:rPr>
        <w:t>янської  районної державної адміністрації</w:t>
      </w:r>
    </w:p>
    <w:p w:rsidR="00F03E60" w:rsidP="00D41616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49180F" w:rsidR="006D3299">
        <w:rPr>
          <w:rFonts w:ascii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49180F" w:rsidR="00FE1841">
        <w:rPr>
          <w:rFonts w:ascii="Times New Roman" w:hAnsi="Times New Roman"/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Pr="0049180F" w:rsidR="006D3299">
        <w:rPr>
          <w:rFonts w:ascii="Times New Roman" w:hAnsi="Times New Roman"/>
          <w:sz w:val="20"/>
          <w:szCs w:val="20"/>
          <w:lang w:eastAsia="uk-UA"/>
        </w:rPr>
        <w:t>)</w:t>
      </w:r>
    </w:p>
    <w:p w:rsidR="00D41616" w:rsidRPr="0049180F" w:rsidP="00D41616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2994"/>
        <w:gridCol w:w="6306"/>
      </w:tblGrid>
      <w:tr>
        <w:tblPrEx>
          <w:tblW w:w="4974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49180F" w:rsidP="005034B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49180F" w:rsidR="006D32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Pr="0049180F" w:rsidR="00C27C6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Pr="0049180F" w:rsidR="00FE184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32BFF" w:rsidRPr="0049180F" w:rsidP="00B32B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32BFF" w:rsidRPr="0049180F" w:rsidP="00B32BF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32BFF" w:rsidRPr="00B97686" w:rsidP="00B32BF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Відділ «Центр надання адміністративних послуг» виконавчого комітету Вишнівської селищної ради</w:t>
            </w:r>
          </w:p>
          <w:p w:rsidR="00B32BFF" w:rsidRPr="00B97686" w:rsidP="00B32BF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: 52151, Дніпропетровська обл. Кам</w:t>
            </w: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янський р-н, смт.Вишневе, вул.Степова,57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32BFF" w:rsidRPr="0049180F" w:rsidP="00B32B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32BFF" w:rsidRPr="0049180F" w:rsidP="00B32BF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32BFF" w:rsidRPr="00B97686" w:rsidP="00B32BF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32BFF" w:rsidRPr="00B97686" w:rsidP="00B32BF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Понеділок, вівторок,середа з 08:00 по 17:00</w:t>
            </w:r>
          </w:p>
          <w:p w:rsidR="00B32BFF" w:rsidRPr="00B97686" w:rsidP="00B32BF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Четвер з 08:00 по 20:00.</w:t>
            </w:r>
          </w:p>
          <w:p w:rsidR="00B32BFF" w:rsidRPr="00B97686" w:rsidP="00B32BF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П’ятниця з 08:00 по 15.45</w:t>
            </w:r>
          </w:p>
          <w:p w:rsidR="00B32BFF" w:rsidRPr="00B97686" w:rsidP="00B32BF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Без перерви на обід</w:t>
            </w:r>
          </w:p>
          <w:p w:rsidR="00B32BFF" w:rsidRPr="00B97686" w:rsidP="00B32BF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rPr>
          <w:trHeight w:val="95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32BFF" w:rsidRPr="0049180F" w:rsidP="00B32BF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32BFF" w:rsidRPr="0049180F" w:rsidP="00B32BF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32BFF" w:rsidRPr="00B97686" w:rsidP="00B32BF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B32BFF" w:rsidRPr="00B97686" w:rsidP="00B32BF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B97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B976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32BFF" w:rsidRPr="00B97686" w:rsidP="00B32BFF">
            <w:pPr>
              <w:pStyle w:val="login-buttonuser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 w:rsidRPr="00B97686">
              <w:rPr>
                <w:rFonts w:ascii="Times New Roman" w:hAnsi="Times New Roman"/>
                <w:b/>
                <w:iCs/>
                <w:lang w:val="uk-UA"/>
              </w:rPr>
              <w:t>Веб-сайт:</w:t>
            </w:r>
            <w:r w:rsidRPr="00B97686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B97686">
              <w:rPr>
                <w:rFonts w:ascii="Times New Roman" w:hAnsi="Times New Roman"/>
                <w:iCs/>
                <w:lang w:val="en-US"/>
              </w:rPr>
              <w:t>https</w:t>
            </w:r>
            <w:r w:rsidRPr="00B97686">
              <w:rPr>
                <w:rFonts w:ascii="Times New Roman" w:hAnsi="Times New Roman"/>
                <w:iCs/>
                <w:lang w:val="uk-UA"/>
              </w:rPr>
              <w:t>:</w:t>
            </w:r>
            <w:r w:rsidRPr="00B97686">
              <w:rPr>
                <w:rFonts w:ascii="Times New Roman" w:hAnsi="Times New Roman"/>
                <w:iCs/>
              </w:rPr>
              <w:t>//</w:t>
            </w:r>
            <w:r w:rsidRPr="00B97686">
              <w:rPr>
                <w:rFonts w:ascii="Times New Roman" w:hAnsi="Times New Roman"/>
                <w:iCs/>
                <w:lang w:val="en-US"/>
              </w:rPr>
              <w:t>vyshneve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otg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dp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gov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/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#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49180F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49180F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49180F" w:rsidP="00D2460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03E60" w:rsidRPr="0049180F" w:rsidP="0049180F">
            <w:pPr>
              <w:pStyle w:val="NormalWeb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5" w:tgtFrame="_blank" w:history="1">
              <w:r w:rsidRPr="0049180F" w:rsidR="00947907">
                <w:rPr>
                  <w:rFonts w:ascii="Times New Roman" w:hAnsi="Times New Roman"/>
                </w:rPr>
                <w:t>Закон України „Про статус і соціальний захист громадян, які постраждали внаслідок Чорнобильської катастрофи” </w:t>
              </w:r>
            </w:hyperlink>
            <w:r w:rsidRPr="0049180F" w:rsidR="00A231E0">
              <w:rPr>
                <w:rFonts w:ascii="Times New Roman" w:hAnsi="Times New Roman"/>
              </w:rPr>
              <w:t xml:space="preserve"> від </w:t>
            </w:r>
            <w:r w:rsidRPr="0049180F" w:rsidR="003B6A90">
              <w:rPr>
                <w:rFonts w:ascii="Times New Roman" w:hAnsi="Times New Roman"/>
              </w:rPr>
              <w:t>28.02.1991</w:t>
            </w:r>
            <w:r w:rsidRPr="0049180F" w:rsidR="00A231E0">
              <w:rPr>
                <w:rFonts w:ascii="Times New Roman" w:hAnsi="Times New Roman"/>
              </w:rPr>
              <w:t xml:space="preserve"> № </w:t>
            </w:r>
            <w:hyperlink r:id="rId6" w:history="1">
              <w:r w:rsidRPr="0049180F" w:rsidR="003B6A90">
                <w:rPr>
                  <w:rStyle w:val="Hyperlink"/>
                  <w:rFonts w:ascii="Times New Roman" w:hAnsi="Times New Roman"/>
                  <w:bCs/>
                  <w:color w:val="auto"/>
                  <w:u w:val="none"/>
                </w:rPr>
                <w:t>796-ХІІ</w:t>
              </w:r>
            </w:hyperlink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49180F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49180F" w:rsidP="00D2460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368E3" w:rsidRPr="0049180F" w:rsidP="00DB7F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="00B46C28">
              <w:rPr>
                <w:rFonts w:ascii="Times New Roman" w:hAnsi="Times New Roman"/>
                <w:sz w:val="24"/>
                <w:szCs w:val="24"/>
                <w:lang w:eastAsia="uk-UA"/>
              </w:rPr>
              <w:t>Постанови</w:t>
            </w:r>
            <w:r w:rsidRPr="0049180F" w:rsidR="00A75C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Кабінету Міністрів України</w:t>
            </w:r>
            <w:r w:rsidRPr="0049180F" w:rsidR="002E042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hyperlink r:id="rId7" w:tgtFrame="_blank" w:history="1">
              <w:r w:rsidRPr="0049180F" w:rsidR="00A75CCC">
                <w:rPr>
                  <w:rFonts w:ascii="Times New Roman" w:hAnsi="Times New Roman"/>
                  <w:sz w:val="24"/>
                  <w:szCs w:val="24"/>
                  <w:lang w:eastAsia="uk-UA"/>
                </w:rPr>
                <w:t>від 20.09.2005 №</w:t>
              </w:r>
              <w:r w:rsidR="0049180F">
                <w:rPr>
                  <w:rFonts w:ascii="Times New Roman" w:hAnsi="Times New Roman"/>
                  <w:sz w:val="24"/>
                  <w:szCs w:val="24"/>
                  <w:lang w:eastAsia="uk-UA"/>
                </w:rPr>
                <w:t> </w:t>
              </w:r>
              <w:r w:rsidRPr="0049180F" w:rsidR="00A75CCC">
                <w:rPr>
                  <w:rFonts w:ascii="Times New Roman" w:hAnsi="Times New Roman"/>
                  <w:sz w:val="24"/>
                  <w:szCs w:val="24"/>
                  <w:lang w:eastAsia="uk-UA"/>
                </w:rPr>
                <w:t>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  </w:r>
            </w:hyperlink>
            <w:r w:rsidR="00B46C2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49180F" w:rsidR="00A75CCC">
              <w:rPr>
                <w:rFonts w:ascii="Times New Roman" w:hAnsi="Times New Roman"/>
                <w:sz w:val="24"/>
                <w:szCs w:val="24"/>
                <w:lang w:eastAsia="uk-UA"/>
              </w:rPr>
              <w:t>від 23.11.2016 №</w:t>
            </w:r>
            <w:r w:rsidRPr="0049180F" w:rsidR="002E042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49180F" w:rsidR="00A75CCC">
              <w:rPr>
                <w:rFonts w:ascii="Times New Roman" w:hAnsi="Times New Roman"/>
                <w:sz w:val="24"/>
                <w:szCs w:val="24"/>
                <w:lang w:eastAsia="uk-UA"/>
              </w:rPr>
              <w:t>854 „Деякі питання санаторно-курортного лікування та відпочинку громадян, які постраждали внаслід</w:t>
            </w:r>
            <w:r w:rsidRPr="0049180F" w:rsidR="002E0427">
              <w:rPr>
                <w:rFonts w:ascii="Times New Roman" w:hAnsi="Times New Roman"/>
                <w:sz w:val="24"/>
                <w:szCs w:val="24"/>
                <w:lang w:eastAsia="uk-UA"/>
              </w:rPr>
              <w:t>ок Чорнобильської катастрофи”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D5B4A" w:rsidRPr="0049180F" w:rsidP="00FD5B4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D5B4A" w:rsidRPr="0049180F" w:rsidP="00FD5B4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B7FA5" w:rsidRPr="0049180F" w:rsidP="002E0427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9180F" w:rsidR="00FD5B4A">
              <w:rPr>
                <w:rFonts w:ascii="Times New Roman" w:hAnsi="Times New Roman"/>
              </w:rPr>
              <w:t xml:space="preserve">Наказ </w:t>
            </w:r>
            <w:r>
              <w:rPr>
                <w:rFonts w:ascii="Times New Roman" w:hAnsi="Times New Roman"/>
              </w:rPr>
              <w:t>Міністерства соціальної політики України</w:t>
            </w:r>
            <w:r w:rsidR="00C82210">
              <w:rPr>
                <w:rFonts w:ascii="Times New Roman" w:hAnsi="Times New Roman"/>
              </w:rPr>
              <w:t>,</w:t>
            </w:r>
            <w:r w:rsidRPr="0049180F" w:rsidR="00FD5B4A">
              <w:rPr>
                <w:rFonts w:ascii="Times New Roman" w:hAnsi="Times New Roman"/>
              </w:rPr>
              <w:t xml:space="preserve"> яким щороку визначається розмір грошової компенсації замість путівки</w:t>
            </w:r>
            <w:r w:rsidR="00C8221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відповідно до </w:t>
            </w:r>
            <w:r w:rsidRPr="0049180F" w:rsidR="00FD5B4A">
              <w:rPr>
                <w:rFonts w:ascii="Times New Roman" w:hAnsi="Times New Roman"/>
              </w:rPr>
              <w:t>вимог пункту 1 постанови Кабінету Міністрів У</w:t>
            </w:r>
            <w:r w:rsidRPr="0049180F" w:rsidR="00595B1E">
              <w:rPr>
                <w:rFonts w:ascii="Times New Roman" w:hAnsi="Times New Roman"/>
              </w:rPr>
              <w:t>країни</w:t>
            </w:r>
            <w:r w:rsidRPr="0049180F" w:rsidR="00FD5B4A">
              <w:rPr>
                <w:rFonts w:ascii="Times New Roman" w:hAnsi="Times New Roman"/>
              </w:rPr>
              <w:t xml:space="preserve"> від 08.11.2017 № 838 „Про розмір середньої вартості путівки для виплати грошової компенсації замість путівки громадянам, які постраждали внаслідок Чорнобильської катастрофи”</w:t>
            </w:r>
            <w:r>
              <w:rPr>
                <w:rFonts w:ascii="Times New Roman" w:hAnsi="Times New Roman"/>
              </w:rPr>
              <w:t xml:space="preserve">, </w:t>
            </w:r>
            <w:r w:rsidRPr="0049180F" w:rsidR="002259C0">
              <w:rPr>
                <w:rFonts w:ascii="Times New Roman" w:hAnsi="Times New Roman"/>
              </w:rPr>
              <w:t>наказ Міністерства соціальної політики</w:t>
            </w:r>
            <w:r>
              <w:rPr>
                <w:rFonts w:ascii="Times New Roman" w:hAnsi="Times New Roman"/>
              </w:rPr>
              <w:t xml:space="preserve"> України</w:t>
            </w:r>
            <w:r w:rsidRPr="0049180F" w:rsidR="002259C0">
              <w:rPr>
                <w:rFonts w:ascii="Times New Roman" w:hAnsi="Times New Roman"/>
              </w:rPr>
              <w:t xml:space="preserve">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за № 163/31615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D5B4A" w:rsidRPr="0049180F" w:rsidP="00FD5B4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D5B4A" w:rsidRPr="0049180F" w:rsidP="00FD5B4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D5B4A" w:rsidRPr="0049180F" w:rsidP="002E042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D5B4A" w:rsidRPr="0049180F" w:rsidP="00531D2B">
            <w:pPr>
              <w:bidi w:val="0"/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="00531D2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Відмова </w:t>
            </w:r>
            <w:r w:rsidRPr="00531D2B" w:rsidR="00531D2B">
              <w:rPr>
                <w:rFonts w:ascii="Times New Roman" w:hAnsi="Times New Roman"/>
                <w:sz w:val="24"/>
                <w:szCs w:val="24"/>
                <w:lang w:eastAsia="uk-UA"/>
              </w:rPr>
              <w:t>від отримання санаторно-курортного лікування або відпочинку</w:t>
            </w:r>
            <w:r w:rsidR="00531D2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місцем перебування на обліку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D5B4A" w:rsidRPr="0049180F" w:rsidP="00FD5B4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D5B4A" w:rsidRPr="0049180F" w:rsidP="002E042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175930" w:rsidRPr="0049180F" w:rsidP="002E0427">
            <w:pPr>
              <w:suppressAutoHyphens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1" w:name="n506"/>
            <w:bookmarkEnd w:id="1"/>
            <w:r w:rsidR="00C82210">
              <w:rPr>
                <w:rFonts w:ascii="Times New Roman" w:hAnsi="Times New Roman"/>
                <w:sz w:val="24"/>
                <w:szCs w:val="24"/>
              </w:rPr>
              <w:t>Заява</w:t>
            </w:r>
            <w:r w:rsidRPr="0049180F" w:rsidR="002359E6">
              <w:rPr>
                <w:rFonts w:ascii="Times New Roman" w:hAnsi="Times New Roman"/>
                <w:sz w:val="24"/>
                <w:szCs w:val="24"/>
              </w:rPr>
              <w:t xml:space="preserve"> на отримання грошової компенсації </w:t>
            </w:r>
            <w:r w:rsidRPr="0049180F" w:rsidR="0049180F">
              <w:rPr>
                <w:rFonts w:ascii="Times New Roman" w:hAnsi="Times New Roman"/>
                <w:sz w:val="24"/>
                <w:szCs w:val="24"/>
              </w:rPr>
              <w:t>замість санаторно-курортної путівки громадян</w:t>
            </w:r>
            <w:r w:rsidR="0049180F">
              <w:rPr>
                <w:rFonts w:ascii="Times New Roman" w:hAnsi="Times New Roman"/>
                <w:sz w:val="24"/>
                <w:szCs w:val="24"/>
              </w:rPr>
              <w:t>ам, які постраждали внаслідок  Ч</w:t>
            </w:r>
            <w:r w:rsidRPr="0049180F" w:rsidR="0049180F">
              <w:rPr>
                <w:rFonts w:ascii="Times New Roman" w:hAnsi="Times New Roman"/>
                <w:sz w:val="24"/>
                <w:szCs w:val="24"/>
              </w:rPr>
              <w:t>орнобильської катастрофи</w:t>
            </w:r>
            <w:r w:rsidR="0049180F">
              <w:rPr>
                <w:rFonts w:ascii="Times New Roman" w:hAnsi="Times New Roman"/>
                <w:sz w:val="24"/>
                <w:szCs w:val="24"/>
              </w:rPr>
              <w:t xml:space="preserve"> (далі – компенсація)</w:t>
            </w:r>
            <w:r w:rsidRPr="0049180F" w:rsidR="00491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80F" w:rsidR="002359E6">
              <w:rPr>
                <w:rFonts w:ascii="Times New Roman" w:hAnsi="Times New Roman"/>
                <w:sz w:val="24"/>
                <w:szCs w:val="24"/>
              </w:rPr>
              <w:t xml:space="preserve">за формою, </w:t>
            </w:r>
            <w:r w:rsidR="008359F6">
              <w:rPr>
                <w:rFonts w:ascii="Times New Roman" w:hAnsi="Times New Roman"/>
                <w:sz w:val="24"/>
                <w:szCs w:val="24"/>
              </w:rPr>
              <w:t>затвердженою</w:t>
            </w:r>
            <w:r w:rsidRPr="008359F6" w:rsidR="00835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8B2">
              <w:rPr>
                <w:rFonts w:ascii="Times New Roman" w:hAnsi="Times New Roman"/>
                <w:sz w:val="24"/>
                <w:szCs w:val="24"/>
                <w:lang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49180F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175930" w:rsidRPr="0049180F" w:rsidP="002E0427">
            <w:pPr>
              <w:suppressAutoHyphens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2" w:name="n32"/>
            <w:bookmarkEnd w:id="2"/>
            <w:r w:rsidR="00C82210">
              <w:rPr>
                <w:rFonts w:ascii="Times New Roman" w:hAnsi="Times New Roman"/>
                <w:sz w:val="24"/>
                <w:szCs w:val="24"/>
                <w:lang w:eastAsia="ar-SA"/>
              </w:rPr>
              <w:t>довідка</w:t>
            </w:r>
            <w:r w:rsidRPr="004918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для одержання путівки на санаторно-курортне лікування за </w:t>
            </w:r>
            <w:hyperlink r:id="rId8" w:anchor="n3" w:tgtFrame="_blank" w:history="1">
              <w:r w:rsidRPr="0049180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ar-SA"/>
                </w:rPr>
                <w:t>формою 070/о</w:t>
              </w:r>
            </w:hyperlink>
            <w:r w:rsidR="00094FAC">
              <w:rPr>
                <w:rFonts w:ascii="Times New Roman" w:hAnsi="Times New Roman"/>
                <w:sz w:val="24"/>
                <w:szCs w:val="24"/>
                <w:lang w:eastAsia="ar-SA"/>
              </w:rPr>
              <w:t>, затвердженою наказом Міністерства охорони здоров</w:t>
            </w:r>
            <w:r w:rsidRPr="00094FAC" w:rsidR="00094F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’я України від 14.02.2012 </w:t>
            </w:r>
            <w:r w:rsidR="00094FAC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094FAC" w:rsidR="00094FAC">
              <w:rPr>
                <w:rFonts w:ascii="Times New Roman" w:hAnsi="Times New Roman"/>
                <w:sz w:val="24"/>
                <w:szCs w:val="24"/>
                <w:lang w:eastAsia="ar-SA"/>
              </w:rPr>
              <w:t>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 w:rsidR="00094FAC">
              <w:rPr>
                <w:rFonts w:ascii="Times New Roman" w:hAnsi="Times New Roman"/>
                <w:sz w:val="24"/>
                <w:szCs w:val="24"/>
                <w:lang w:eastAsia="ar-SA"/>
              </w:rPr>
              <w:t>ˮ, зареєстрованим в Міністерстві юстиції України 28.04.2012 за № 661/20974</w:t>
            </w:r>
            <w:r w:rsidRPr="0049180F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175930" w:rsidRPr="0049180F" w:rsidP="002E0427">
            <w:pPr>
              <w:suppressAutoHyphens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3" w:name="n33"/>
            <w:bookmarkEnd w:id="3"/>
            <w:r w:rsidR="00C82210">
              <w:rPr>
                <w:rFonts w:ascii="Times New Roman" w:hAnsi="Times New Roman"/>
                <w:sz w:val="24"/>
                <w:szCs w:val="24"/>
                <w:lang w:eastAsia="ar-SA"/>
              </w:rPr>
              <w:t>копія</w:t>
            </w:r>
            <w:r w:rsidRPr="004918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посвідчення громадянина, віднесеного до </w:t>
            </w:r>
            <w:hyperlink r:id="rId9" w:anchor="n107" w:tgtFrame="_blank" w:history="1">
              <w:r w:rsidRPr="0049180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ar-SA"/>
                </w:rPr>
                <w:t>категорії 1</w:t>
              </w:r>
            </w:hyperlink>
            <w:r w:rsidRPr="004918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82210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Pr="00C82210" w:rsidR="00C82210">
              <w:rPr>
                <w:rFonts w:ascii="Times New Roman" w:hAnsi="Times New Roman"/>
                <w:sz w:val="24"/>
                <w:szCs w:val="24"/>
                <w:lang w:eastAsia="ar-SA"/>
              </w:rPr>
              <w:t>особа з інвалідністю з числа учасників ліквідації наслідків аварії на Чорнобильській АЕС та потерпілих від Чорнобильської катастрофи (статті 10, 11 і частина третя статті 12</w:t>
            </w:r>
            <w:r w:rsidR="00C822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82210" w:rsidR="00C82210">
              <w:rPr>
                <w:rFonts w:ascii="Times New Roman" w:hAnsi="Times New Roman"/>
                <w:sz w:val="24"/>
                <w:szCs w:val="24"/>
                <w:lang w:eastAsia="ar-SA"/>
              </w:rPr>
              <w:t>Закон</w:t>
            </w:r>
            <w:r w:rsidR="00C82210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C82210" w:rsidR="00C822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„Про статус і соціальний захист громадян, які постраждали внаслідок Чорнобильської катастрофи”</w:t>
            </w:r>
            <w:r w:rsidR="00C82210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Pr="00C82210" w:rsidR="00C82210">
              <w:rPr>
                <w:rFonts w:ascii="Times New Roman" w:hAnsi="Times New Roman"/>
                <w:sz w:val="24"/>
                <w:szCs w:val="24"/>
                <w:lang w:eastAsia="ar-SA"/>
              </w:rPr>
              <w:t>, щодо яких встановлено причинний зв'язок інвалідності з Чорнобильською катастрофою, хворі внаслідок Чорнобильської катастрофи на променеву хворобу</w:t>
            </w:r>
            <w:r w:rsidR="00C82210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Pr="00C82210" w:rsidR="00C82210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C822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9180F" w:rsidR="00C82210">
              <w:rPr>
                <w:rFonts w:ascii="Times New Roman" w:hAnsi="Times New Roman"/>
                <w:sz w:val="24"/>
                <w:szCs w:val="24"/>
                <w:lang w:eastAsia="ar-SA"/>
              </w:rPr>
              <w:t>(із вкладкою)</w:t>
            </w:r>
            <w:r w:rsidRPr="0049180F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6E49C8" w:rsidRPr="0049180F" w:rsidP="002E0427">
            <w:pPr>
              <w:suppressAutoHyphens/>
              <w:bidi w:val="0"/>
              <w:spacing w:after="0" w:line="240" w:lineRule="auto"/>
              <w:rPr>
                <w:rFonts w:ascii="Times New Roman" w:hAnsi="Times New Roman"/>
              </w:rPr>
            </w:pPr>
            <w:bookmarkStart w:id="4" w:name="n34"/>
            <w:bookmarkEnd w:id="4"/>
            <w:r w:rsidR="00C82210">
              <w:rPr>
                <w:rFonts w:ascii="Times New Roman" w:hAnsi="Times New Roman"/>
                <w:sz w:val="24"/>
                <w:szCs w:val="24"/>
                <w:lang w:eastAsia="ar-SA"/>
              </w:rPr>
              <w:t>копія</w:t>
            </w:r>
            <w:r w:rsidRPr="0049180F" w:rsidR="0017593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паспорта</w:t>
            </w:r>
            <w:r w:rsidRPr="0049180F" w:rsidR="002359E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громадянина України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D5B4A" w:rsidRPr="0049180F" w:rsidP="00FD5B4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D5B4A" w:rsidRPr="0049180F" w:rsidP="00FD5B4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034B3" w:rsidRPr="0049180F" w:rsidP="00503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0F">
              <w:rPr>
                <w:rFonts w:ascii="Times New Roman" w:hAnsi="Times New Roman"/>
                <w:sz w:val="24"/>
                <w:szCs w:val="24"/>
              </w:rPr>
              <w:t xml:space="preserve">Заява та документи, необхідні для призначення </w:t>
            </w:r>
            <w:r w:rsidR="0049180F">
              <w:rPr>
                <w:rFonts w:ascii="Times New Roman" w:hAnsi="Times New Roman"/>
                <w:sz w:val="24"/>
                <w:szCs w:val="24"/>
              </w:rPr>
              <w:t>компенсації</w:t>
            </w:r>
            <w:r w:rsidRPr="0049180F">
              <w:rPr>
                <w:rFonts w:ascii="Times New Roman" w:hAnsi="Times New Roman"/>
                <w:sz w:val="24"/>
                <w:szCs w:val="24"/>
              </w:rPr>
              <w:t>, подаються особою суб’єкт</w:t>
            </w:r>
            <w:r w:rsidR="0049180F">
              <w:rPr>
                <w:rFonts w:ascii="Times New Roman" w:hAnsi="Times New Roman"/>
                <w:sz w:val="24"/>
                <w:szCs w:val="24"/>
              </w:rPr>
              <w:t>у</w:t>
            </w:r>
            <w:r w:rsidRPr="0049180F">
              <w:rPr>
                <w:rFonts w:ascii="Times New Roman" w:hAnsi="Times New Roman"/>
                <w:sz w:val="24"/>
                <w:szCs w:val="24"/>
              </w:rPr>
              <w:t xml:space="preserve"> надання адміністративної послуги:</w:t>
            </w:r>
          </w:p>
          <w:p w:rsidR="0049180F" w:rsidRPr="00830B0A" w:rsidP="00491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B0A">
              <w:rPr>
                <w:rFonts w:ascii="Times New Roman" w:hAnsi="Times New Roman"/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FD5B4A" w:rsidRPr="0049180F" w:rsidP="00491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 w:rsidR="0049180F">
              <w:rPr>
                <w:rFonts w:ascii="Times New Roman" w:hAnsi="Times New Roman"/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D5B4A" w:rsidRPr="0049180F" w:rsidP="00FD5B4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D5B4A" w:rsidRPr="0049180F" w:rsidP="00FD5B4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D5B4A" w:rsidRPr="0049180F" w:rsidP="00FD5B4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49180F" w:rsidR="002E0427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D5B4A" w:rsidRPr="0049180F" w:rsidP="00FD5B4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D5B4A" w:rsidRPr="0049180F" w:rsidP="00FD5B4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D5B4A" w:rsidRPr="0049180F" w:rsidP="00FD5B4A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0F" w:rsidR="003570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D5B4A" w:rsidRPr="0049180F" w:rsidP="00FD5B4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D5B4A" w:rsidRPr="0049180F" w:rsidP="00FD5B4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49180F" w:rsidP="002E0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49180F" w:rsidR="00FD5B4A">
              <w:rPr>
                <w:rFonts w:ascii="Times New Roman" w:hAnsi="Times New Roman"/>
                <w:sz w:val="24"/>
                <w:szCs w:val="24"/>
                <w:lang w:eastAsia="ru-RU"/>
              </w:rPr>
              <w:t>Подання документ</w:t>
            </w:r>
            <w:r w:rsidRPr="0049180F" w:rsidR="002E0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ів до заяви не в повному обсязі; </w:t>
            </w:r>
          </w:p>
          <w:p w:rsidR="00FD5B4A" w:rsidRPr="0049180F" w:rsidP="002E0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trike/>
              </w:rPr>
            </w:pPr>
            <w:r w:rsidRPr="0049180F">
              <w:rPr>
                <w:rFonts w:ascii="Times New Roman" w:hAnsi="Times New Roman"/>
                <w:sz w:val="24"/>
                <w:szCs w:val="24"/>
              </w:rPr>
              <w:t>заява подана особою, яка не має права на п</w:t>
            </w:r>
            <w:r w:rsidR="0049180F">
              <w:rPr>
                <w:rFonts w:ascii="Times New Roman" w:hAnsi="Times New Roman"/>
                <w:sz w:val="24"/>
                <w:szCs w:val="24"/>
              </w:rPr>
              <w:t xml:space="preserve">ризначення </w:t>
            </w:r>
            <w:r w:rsidRPr="0049180F" w:rsidR="002E0427">
              <w:rPr>
                <w:rFonts w:ascii="Times New Roman" w:hAnsi="Times New Roman"/>
                <w:sz w:val="24"/>
                <w:szCs w:val="24"/>
              </w:rPr>
              <w:t>компенсації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D5B4A" w:rsidRPr="0049180F" w:rsidP="00FD5B4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D5B4A" w:rsidRPr="0049180F" w:rsidP="00FD5B4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D5B4A" w:rsidRPr="0049180F" w:rsidP="0049180F">
            <w:pPr>
              <w:tabs>
                <w:tab w:val="left" w:pos="1565"/>
              </w:tabs>
              <w:bidi w:val="0"/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 компенсації / відмова  у призначені компенсації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D5B4A" w:rsidRPr="0049180F" w:rsidP="00FD5B4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D5B4A" w:rsidRPr="0049180F" w:rsidP="00FD5B4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B46C28" w:rsidP="0049180F">
            <w:pPr>
              <w:shd w:val="clear" w:color="auto" w:fill="FFFFFF"/>
              <w:bidi w:val="0"/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o638"/>
            <w:bookmarkStart w:id="9" w:name="n424"/>
            <w:bookmarkEnd w:id="8"/>
            <w:bookmarkEnd w:id="9"/>
            <w:r w:rsidRPr="0049180F" w:rsidR="0049180F">
              <w:rPr>
                <w:rFonts w:ascii="Times New Roman" w:hAnsi="Times New Roman"/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 w:rsidR="004918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D5B4A" w:rsidRPr="0049180F" w:rsidP="0049180F">
            <w:pPr>
              <w:shd w:val="clear" w:color="auto" w:fill="FFFFFF"/>
              <w:bidi w:val="0"/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="0049180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9180F">
              <w:rPr>
                <w:rFonts w:ascii="Times New Roman" w:hAnsi="Times New Roman"/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:rsidR="009768B2" w:rsidP="0049180F">
      <w:pPr>
        <w:bidi w:val="0"/>
        <w:spacing w:before="120"/>
        <w:rPr>
          <w:rFonts w:ascii="Times New Roman" w:hAnsi="Times New Roman"/>
          <w:i/>
          <w:sz w:val="24"/>
        </w:rPr>
      </w:pPr>
      <w:bookmarkStart w:id="10" w:name="n43"/>
      <w:bookmarkEnd w:id="10"/>
    </w:p>
    <w:p w:rsidR="005034B3" w:rsidRPr="0049180F" w:rsidP="0049180F">
      <w:pPr>
        <w:bidi w:val="0"/>
        <w:spacing w:before="120"/>
        <w:rPr>
          <w:rFonts w:ascii="Times New Roman" w:hAnsi="Times New Roman"/>
        </w:rPr>
      </w:pPr>
      <w:r w:rsidRPr="0049180F" w:rsidR="00573624">
        <w:rPr>
          <w:rFonts w:ascii="Times New Roman" w:hAnsi="Times New Roman"/>
          <w:i/>
          <w:sz w:val="24"/>
        </w:rPr>
        <w:t xml:space="preserve">* </w:t>
      </w:r>
      <w:r w:rsidR="0049180F">
        <w:rPr>
          <w:rFonts w:ascii="Times New Roman" w:hAnsi="Times New Roman"/>
          <w:i/>
          <w:sz w:val="24"/>
        </w:rPr>
        <w:t>До</w:t>
      </w:r>
      <w:r w:rsidRPr="0049180F" w:rsidR="00573624">
        <w:rPr>
          <w:rFonts w:ascii="Times New Roman" w:hAnsi="Times New Roman"/>
          <w:i/>
          <w:sz w:val="24"/>
        </w:rPr>
        <w:t xml:space="preserve">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49180F">
        <w:rPr>
          <w:rFonts w:ascii="Times New Roman" w:hAnsi="Times New Roman"/>
          <w:i/>
          <w:sz w:val="24"/>
        </w:rPr>
        <w:t>компенсації</w:t>
      </w:r>
      <w:r w:rsidRPr="0049180F" w:rsidR="00573624">
        <w:rPr>
          <w:rFonts w:ascii="Times New Roman" w:hAnsi="Times New Roman"/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 w:rsidR="0049180F">
        <w:rPr>
          <w:rFonts w:ascii="Times New Roman" w:hAnsi="Times New Roman"/>
          <w:i/>
          <w:sz w:val="24"/>
        </w:rPr>
        <w:t>.</w:t>
      </w:r>
      <w:r w:rsidRPr="0049180F" w:rsidR="00573624">
        <w:rPr>
          <w:rFonts w:ascii="Times New Roman" w:hAnsi="Times New Roman"/>
          <w:i/>
          <w:sz w:val="24"/>
        </w:rPr>
        <w:t xml:space="preserve"> </w:t>
      </w:r>
    </w:p>
    <w:sectPr w:rsidSect="00B60CD4">
      <w:headerReference w:type="default" r:id="rId10"/>
      <w:pgSz w:w="11906" w:h="16838"/>
      <w:pgMar w:top="1134" w:right="567" w:bottom="1134" w:left="1701" w:header="425" w:footer="709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B32BFF" w:rsidR="00B32BFF">
      <w:rPr>
        <w:rFonts w:ascii="Times New Roman" w:hAnsi="Times New Roman"/>
        <w:noProof/>
        <w:sz w:val="24"/>
        <w:szCs w:val="24"/>
        <w:lang w:val="ru-RU"/>
      </w:rPr>
      <w:t>3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4E3219DA"/>
    <w:multiLevelType w:val="multilevel"/>
    <w:tmpl w:val="002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D5A41"/>
    <w:multiLevelType w:val="hybridMultilevel"/>
    <w:tmpl w:val="53E04E86"/>
    <w:lvl w:ilvl="0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F03E60"/>
    <w:rsid w:val="00010AF8"/>
    <w:rsid w:val="00014EAD"/>
    <w:rsid w:val="00042A7F"/>
    <w:rsid w:val="00054BAD"/>
    <w:rsid w:val="000605BE"/>
    <w:rsid w:val="00063512"/>
    <w:rsid w:val="000655A6"/>
    <w:rsid w:val="00066B15"/>
    <w:rsid w:val="00080D67"/>
    <w:rsid w:val="00081801"/>
    <w:rsid w:val="00083704"/>
    <w:rsid w:val="00084C29"/>
    <w:rsid w:val="00085371"/>
    <w:rsid w:val="000877C9"/>
    <w:rsid w:val="00090045"/>
    <w:rsid w:val="00094FAC"/>
    <w:rsid w:val="000A09ED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2113"/>
    <w:rsid w:val="000F52D4"/>
    <w:rsid w:val="000F612A"/>
    <w:rsid w:val="001038DC"/>
    <w:rsid w:val="001105E0"/>
    <w:rsid w:val="00115B24"/>
    <w:rsid w:val="0011745F"/>
    <w:rsid w:val="00122892"/>
    <w:rsid w:val="001243CC"/>
    <w:rsid w:val="0014298A"/>
    <w:rsid w:val="00142A11"/>
    <w:rsid w:val="00142BDB"/>
    <w:rsid w:val="00146936"/>
    <w:rsid w:val="00146AA9"/>
    <w:rsid w:val="00146C85"/>
    <w:rsid w:val="00146D98"/>
    <w:rsid w:val="00157EB2"/>
    <w:rsid w:val="001611BA"/>
    <w:rsid w:val="001651D9"/>
    <w:rsid w:val="00165266"/>
    <w:rsid w:val="00175930"/>
    <w:rsid w:val="0017727B"/>
    <w:rsid w:val="00182686"/>
    <w:rsid w:val="00184DCE"/>
    <w:rsid w:val="001A3106"/>
    <w:rsid w:val="001B0911"/>
    <w:rsid w:val="001B34C5"/>
    <w:rsid w:val="001C0B2F"/>
    <w:rsid w:val="001D2AE7"/>
    <w:rsid w:val="001D5657"/>
    <w:rsid w:val="001E0E70"/>
    <w:rsid w:val="001E1F5F"/>
    <w:rsid w:val="001F252B"/>
    <w:rsid w:val="00200BCD"/>
    <w:rsid w:val="00206244"/>
    <w:rsid w:val="00216288"/>
    <w:rsid w:val="00225850"/>
    <w:rsid w:val="002259C0"/>
    <w:rsid w:val="00230C15"/>
    <w:rsid w:val="00234BF6"/>
    <w:rsid w:val="002359E6"/>
    <w:rsid w:val="0023746A"/>
    <w:rsid w:val="00264EFA"/>
    <w:rsid w:val="002701F6"/>
    <w:rsid w:val="0029223E"/>
    <w:rsid w:val="002A09D5"/>
    <w:rsid w:val="002A134F"/>
    <w:rsid w:val="002A1B4A"/>
    <w:rsid w:val="002A6E62"/>
    <w:rsid w:val="002B15D1"/>
    <w:rsid w:val="002B6C94"/>
    <w:rsid w:val="002C5FE2"/>
    <w:rsid w:val="002E0427"/>
    <w:rsid w:val="002F5180"/>
    <w:rsid w:val="00302A81"/>
    <w:rsid w:val="003068DD"/>
    <w:rsid w:val="00313492"/>
    <w:rsid w:val="0031780F"/>
    <w:rsid w:val="0032419D"/>
    <w:rsid w:val="00350A8B"/>
    <w:rsid w:val="00357054"/>
    <w:rsid w:val="00360E70"/>
    <w:rsid w:val="0036107E"/>
    <w:rsid w:val="0036505C"/>
    <w:rsid w:val="003705E8"/>
    <w:rsid w:val="00374290"/>
    <w:rsid w:val="003945B6"/>
    <w:rsid w:val="0039549C"/>
    <w:rsid w:val="00395BBB"/>
    <w:rsid w:val="00396206"/>
    <w:rsid w:val="003B3D20"/>
    <w:rsid w:val="003B6A90"/>
    <w:rsid w:val="003E6B43"/>
    <w:rsid w:val="004014F1"/>
    <w:rsid w:val="00403747"/>
    <w:rsid w:val="00407DEA"/>
    <w:rsid w:val="0042437A"/>
    <w:rsid w:val="0043391F"/>
    <w:rsid w:val="0043560B"/>
    <w:rsid w:val="00435732"/>
    <w:rsid w:val="004362DC"/>
    <w:rsid w:val="00442668"/>
    <w:rsid w:val="00450F1D"/>
    <w:rsid w:val="0045798B"/>
    <w:rsid w:val="004657F7"/>
    <w:rsid w:val="00466337"/>
    <w:rsid w:val="00470FD0"/>
    <w:rsid w:val="00475EBF"/>
    <w:rsid w:val="004817BD"/>
    <w:rsid w:val="004823FC"/>
    <w:rsid w:val="004834D7"/>
    <w:rsid w:val="0049180F"/>
    <w:rsid w:val="00497481"/>
    <w:rsid w:val="004B0345"/>
    <w:rsid w:val="004B21F4"/>
    <w:rsid w:val="004B708A"/>
    <w:rsid w:val="004C4CF3"/>
    <w:rsid w:val="004D12D3"/>
    <w:rsid w:val="004D677A"/>
    <w:rsid w:val="004E0545"/>
    <w:rsid w:val="004E76BC"/>
    <w:rsid w:val="004F324E"/>
    <w:rsid w:val="005034B3"/>
    <w:rsid w:val="00504A92"/>
    <w:rsid w:val="0051398D"/>
    <w:rsid w:val="0052271C"/>
    <w:rsid w:val="00523281"/>
    <w:rsid w:val="00531D2B"/>
    <w:rsid w:val="0053319B"/>
    <w:rsid w:val="005349DB"/>
    <w:rsid w:val="005403D3"/>
    <w:rsid w:val="005416E0"/>
    <w:rsid w:val="00554003"/>
    <w:rsid w:val="0055612C"/>
    <w:rsid w:val="00573624"/>
    <w:rsid w:val="00586539"/>
    <w:rsid w:val="00592154"/>
    <w:rsid w:val="0059459D"/>
    <w:rsid w:val="005959BD"/>
    <w:rsid w:val="00595B1E"/>
    <w:rsid w:val="005A22EC"/>
    <w:rsid w:val="005B1B2C"/>
    <w:rsid w:val="005E52B8"/>
    <w:rsid w:val="005F4971"/>
    <w:rsid w:val="00622936"/>
    <w:rsid w:val="006351A3"/>
    <w:rsid w:val="00636A75"/>
    <w:rsid w:val="006415CA"/>
    <w:rsid w:val="00647182"/>
    <w:rsid w:val="006543B6"/>
    <w:rsid w:val="006630D9"/>
    <w:rsid w:val="0066430A"/>
    <w:rsid w:val="006751F1"/>
    <w:rsid w:val="00676D77"/>
    <w:rsid w:val="00687468"/>
    <w:rsid w:val="00687573"/>
    <w:rsid w:val="00687933"/>
    <w:rsid w:val="00690FCC"/>
    <w:rsid w:val="00691833"/>
    <w:rsid w:val="00694FA2"/>
    <w:rsid w:val="006B47CB"/>
    <w:rsid w:val="006C1244"/>
    <w:rsid w:val="006D3299"/>
    <w:rsid w:val="006D72EA"/>
    <w:rsid w:val="006D7D9B"/>
    <w:rsid w:val="006E20E4"/>
    <w:rsid w:val="006E49C8"/>
    <w:rsid w:val="006E56CE"/>
    <w:rsid w:val="007043FC"/>
    <w:rsid w:val="00705454"/>
    <w:rsid w:val="007115D7"/>
    <w:rsid w:val="00711851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75FEE"/>
    <w:rsid w:val="00783197"/>
    <w:rsid w:val="007837EB"/>
    <w:rsid w:val="00791CD5"/>
    <w:rsid w:val="007920CC"/>
    <w:rsid w:val="00794966"/>
    <w:rsid w:val="007A1888"/>
    <w:rsid w:val="007A660F"/>
    <w:rsid w:val="007A7278"/>
    <w:rsid w:val="007B1858"/>
    <w:rsid w:val="007B4A2C"/>
    <w:rsid w:val="007B7B83"/>
    <w:rsid w:val="007C172C"/>
    <w:rsid w:val="007C1E7C"/>
    <w:rsid w:val="007C259A"/>
    <w:rsid w:val="007C4171"/>
    <w:rsid w:val="007C591F"/>
    <w:rsid w:val="007E2340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0B0A"/>
    <w:rsid w:val="008323AE"/>
    <w:rsid w:val="008359F6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1B"/>
    <w:rsid w:val="0088562C"/>
    <w:rsid w:val="00886D44"/>
    <w:rsid w:val="008909E3"/>
    <w:rsid w:val="00892A2B"/>
    <w:rsid w:val="008B1659"/>
    <w:rsid w:val="008C0A98"/>
    <w:rsid w:val="008C33FA"/>
    <w:rsid w:val="008C4F62"/>
    <w:rsid w:val="008E059F"/>
    <w:rsid w:val="008E2CA4"/>
    <w:rsid w:val="008F23AC"/>
    <w:rsid w:val="008F50DD"/>
    <w:rsid w:val="008F540D"/>
    <w:rsid w:val="009006B3"/>
    <w:rsid w:val="00911F85"/>
    <w:rsid w:val="0091624C"/>
    <w:rsid w:val="0091769D"/>
    <w:rsid w:val="00917C86"/>
    <w:rsid w:val="009213FC"/>
    <w:rsid w:val="00925D4A"/>
    <w:rsid w:val="00927EF9"/>
    <w:rsid w:val="0093458A"/>
    <w:rsid w:val="009457D7"/>
    <w:rsid w:val="00945D2F"/>
    <w:rsid w:val="00947907"/>
    <w:rsid w:val="00952E61"/>
    <w:rsid w:val="009620EA"/>
    <w:rsid w:val="00975AB0"/>
    <w:rsid w:val="009768B2"/>
    <w:rsid w:val="00981DCD"/>
    <w:rsid w:val="009A38D3"/>
    <w:rsid w:val="009A498B"/>
    <w:rsid w:val="009B3737"/>
    <w:rsid w:val="009B45CD"/>
    <w:rsid w:val="009B55B6"/>
    <w:rsid w:val="009C7C5E"/>
    <w:rsid w:val="009E1252"/>
    <w:rsid w:val="009F3365"/>
    <w:rsid w:val="009F4252"/>
    <w:rsid w:val="00A042CA"/>
    <w:rsid w:val="00A07DA4"/>
    <w:rsid w:val="00A10E63"/>
    <w:rsid w:val="00A11390"/>
    <w:rsid w:val="00A12EC6"/>
    <w:rsid w:val="00A231E0"/>
    <w:rsid w:val="00A4484A"/>
    <w:rsid w:val="00A51402"/>
    <w:rsid w:val="00A564EA"/>
    <w:rsid w:val="00A61109"/>
    <w:rsid w:val="00A61171"/>
    <w:rsid w:val="00A7050D"/>
    <w:rsid w:val="00A739DD"/>
    <w:rsid w:val="00A75CCC"/>
    <w:rsid w:val="00A76534"/>
    <w:rsid w:val="00A82B8D"/>
    <w:rsid w:val="00A82E40"/>
    <w:rsid w:val="00A93784"/>
    <w:rsid w:val="00AA0734"/>
    <w:rsid w:val="00AA25EE"/>
    <w:rsid w:val="00AA321E"/>
    <w:rsid w:val="00AA7677"/>
    <w:rsid w:val="00AB1447"/>
    <w:rsid w:val="00AE1C98"/>
    <w:rsid w:val="00AE65A0"/>
    <w:rsid w:val="00AF1E68"/>
    <w:rsid w:val="00AF778B"/>
    <w:rsid w:val="00B00CF3"/>
    <w:rsid w:val="00B22818"/>
    <w:rsid w:val="00B22FA0"/>
    <w:rsid w:val="00B26E40"/>
    <w:rsid w:val="00B26E44"/>
    <w:rsid w:val="00B32BFF"/>
    <w:rsid w:val="00B32FFE"/>
    <w:rsid w:val="00B333C3"/>
    <w:rsid w:val="00B414E5"/>
    <w:rsid w:val="00B4297D"/>
    <w:rsid w:val="00B46C28"/>
    <w:rsid w:val="00B51941"/>
    <w:rsid w:val="00B579ED"/>
    <w:rsid w:val="00B60CD4"/>
    <w:rsid w:val="00B66F74"/>
    <w:rsid w:val="00B70BAD"/>
    <w:rsid w:val="00B817AF"/>
    <w:rsid w:val="00B97686"/>
    <w:rsid w:val="00BA0008"/>
    <w:rsid w:val="00BB06FD"/>
    <w:rsid w:val="00BC1CBF"/>
    <w:rsid w:val="00BE13CA"/>
    <w:rsid w:val="00BE5E7F"/>
    <w:rsid w:val="00BF7369"/>
    <w:rsid w:val="00C01AE7"/>
    <w:rsid w:val="00C02FE1"/>
    <w:rsid w:val="00C15513"/>
    <w:rsid w:val="00C16F93"/>
    <w:rsid w:val="00C17459"/>
    <w:rsid w:val="00C27C62"/>
    <w:rsid w:val="00C415B2"/>
    <w:rsid w:val="00C46828"/>
    <w:rsid w:val="00C47C56"/>
    <w:rsid w:val="00C511CA"/>
    <w:rsid w:val="00C638C2"/>
    <w:rsid w:val="00C63ADC"/>
    <w:rsid w:val="00C64D67"/>
    <w:rsid w:val="00C67943"/>
    <w:rsid w:val="00C73C5C"/>
    <w:rsid w:val="00C74B67"/>
    <w:rsid w:val="00C82210"/>
    <w:rsid w:val="00CA4BFB"/>
    <w:rsid w:val="00CA56F9"/>
    <w:rsid w:val="00CB5533"/>
    <w:rsid w:val="00CB5FC5"/>
    <w:rsid w:val="00CB63F4"/>
    <w:rsid w:val="00CC122F"/>
    <w:rsid w:val="00CC210A"/>
    <w:rsid w:val="00CC2EA2"/>
    <w:rsid w:val="00CC34E8"/>
    <w:rsid w:val="00CC6A9D"/>
    <w:rsid w:val="00CC6C49"/>
    <w:rsid w:val="00CD0DD2"/>
    <w:rsid w:val="00CE14D9"/>
    <w:rsid w:val="00CE270D"/>
    <w:rsid w:val="00D03D12"/>
    <w:rsid w:val="00D0529E"/>
    <w:rsid w:val="00D122AF"/>
    <w:rsid w:val="00D16275"/>
    <w:rsid w:val="00D2460C"/>
    <w:rsid w:val="00D262B5"/>
    <w:rsid w:val="00D27758"/>
    <w:rsid w:val="00D36D97"/>
    <w:rsid w:val="00D41616"/>
    <w:rsid w:val="00D4464D"/>
    <w:rsid w:val="00D52DF6"/>
    <w:rsid w:val="00D5544E"/>
    <w:rsid w:val="00D607C9"/>
    <w:rsid w:val="00D72575"/>
    <w:rsid w:val="00D7266B"/>
    <w:rsid w:val="00D73D1F"/>
    <w:rsid w:val="00D7695F"/>
    <w:rsid w:val="00D92F17"/>
    <w:rsid w:val="00D93A2C"/>
    <w:rsid w:val="00D96540"/>
    <w:rsid w:val="00DA0DA9"/>
    <w:rsid w:val="00DA1733"/>
    <w:rsid w:val="00DA48AD"/>
    <w:rsid w:val="00DB03D7"/>
    <w:rsid w:val="00DB7FA5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E87"/>
    <w:rsid w:val="00E2216E"/>
    <w:rsid w:val="00E321B5"/>
    <w:rsid w:val="00E3515D"/>
    <w:rsid w:val="00E4374E"/>
    <w:rsid w:val="00E43F0B"/>
    <w:rsid w:val="00E445C3"/>
    <w:rsid w:val="00E47811"/>
    <w:rsid w:val="00E51A6F"/>
    <w:rsid w:val="00E55BA5"/>
    <w:rsid w:val="00E57343"/>
    <w:rsid w:val="00E8689A"/>
    <w:rsid w:val="00E87995"/>
    <w:rsid w:val="00E91551"/>
    <w:rsid w:val="00E9323A"/>
    <w:rsid w:val="00E937A2"/>
    <w:rsid w:val="00E94AD9"/>
    <w:rsid w:val="00EA36D5"/>
    <w:rsid w:val="00EC550D"/>
    <w:rsid w:val="00ED666E"/>
    <w:rsid w:val="00EE1889"/>
    <w:rsid w:val="00EE23E5"/>
    <w:rsid w:val="00EE2F47"/>
    <w:rsid w:val="00EE6F32"/>
    <w:rsid w:val="00EF1618"/>
    <w:rsid w:val="00EF4E75"/>
    <w:rsid w:val="00F01318"/>
    <w:rsid w:val="00F02F4C"/>
    <w:rsid w:val="00F03830"/>
    <w:rsid w:val="00F03964"/>
    <w:rsid w:val="00F03E60"/>
    <w:rsid w:val="00F070C3"/>
    <w:rsid w:val="00F22AFE"/>
    <w:rsid w:val="00F368E3"/>
    <w:rsid w:val="00F36991"/>
    <w:rsid w:val="00F406AE"/>
    <w:rsid w:val="00F40837"/>
    <w:rsid w:val="00F45518"/>
    <w:rsid w:val="00F51415"/>
    <w:rsid w:val="00F5179D"/>
    <w:rsid w:val="00F52ADF"/>
    <w:rsid w:val="00F52D52"/>
    <w:rsid w:val="00F63FC7"/>
    <w:rsid w:val="00F86146"/>
    <w:rsid w:val="00F868C1"/>
    <w:rsid w:val="00F94EC9"/>
    <w:rsid w:val="00FA1A68"/>
    <w:rsid w:val="00FA288F"/>
    <w:rsid w:val="00FA58CA"/>
    <w:rsid w:val="00FB13DD"/>
    <w:rsid w:val="00FB3DD9"/>
    <w:rsid w:val="00FC1581"/>
    <w:rsid w:val="00FC6DEA"/>
    <w:rsid w:val="00FD318A"/>
    <w:rsid w:val="00FD5B4A"/>
    <w:rsid w:val="00FE0629"/>
    <w:rsid w:val="00FE1841"/>
    <w:rsid w:val="00FE6DE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unhideWhenUsed/>
    <w:rsid w:val="00F03E60"/>
    <w:pPr>
      <w:tabs>
        <w:tab w:val="center" w:pos="4819"/>
        <w:tab w:val="right" w:pos="9639"/>
      </w:tabs>
      <w:jc w:val="both"/>
    </w:pPr>
  </w:style>
  <w:style w:type="table" w:styleId="TableGrid">
    <w:name w:val="Table Grid"/>
    <w:basedOn w:val="TableNormal"/>
    <w:uiPriority w:val="3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paragraph" w:styleId="BalloonText">
    <w:name w:val="Balloon Text"/>
    <w:basedOn w:val="Normal"/>
    <w:link w:val="a0"/>
    <w:uiPriority w:val="99"/>
    <w:semiHidden/>
    <w:unhideWhenUsed/>
    <w:rsid w:val="001651D9"/>
    <w:pPr>
      <w:jc w:val="both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3945B6"/>
    <w:pPr>
      <w:tabs>
        <w:tab w:val="center" w:pos="4819"/>
        <w:tab w:val="right" w:pos="9639"/>
      </w:tabs>
      <w:jc w:val="both"/>
    </w:p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character" w:customStyle="1" w:styleId="rvts44">
    <w:name w:val="rvts44"/>
    <w:basedOn w:val="DefaultParagraphFont"/>
    <w:rsid w:val="00705454"/>
    <w:rPr>
      <w:rFonts w:cs="Times New Roman"/>
      <w:rtl w:val="0"/>
      <w:cs w:val="0"/>
    </w:rPr>
  </w:style>
  <w:style w:type="character" w:customStyle="1" w:styleId="rvts23">
    <w:name w:val="rvts23"/>
    <w:basedOn w:val="DefaultParagraphFont"/>
    <w:rsid w:val="00705454"/>
    <w:rPr>
      <w:rFonts w:cs="Times New Roman"/>
      <w:rtl w:val="0"/>
      <w:cs w:val="0"/>
    </w:rPr>
  </w:style>
  <w:style w:type="character" w:customStyle="1" w:styleId="rvts0">
    <w:name w:val="rvts0"/>
    <w:basedOn w:val="DefaultParagraphFont"/>
    <w:rsid w:val="004657F7"/>
    <w:rPr>
      <w:rFonts w:cs="Times New Roman"/>
      <w:rtl w:val="0"/>
      <w:cs w:val="0"/>
    </w:rPr>
  </w:style>
  <w:style w:type="paragraph" w:customStyle="1" w:styleId="rvps2">
    <w:name w:val="rvps2"/>
    <w:basedOn w:val="Normal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DefaultParagraphFont"/>
    <w:rsid w:val="0043560B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43560B"/>
    <w:rPr>
      <w:rFonts w:cs="Times New Roman"/>
      <w:color w:val="0000FF"/>
      <w:u w:val="single"/>
      <w:rtl w:val="0"/>
      <w:cs w:val="0"/>
    </w:rPr>
  </w:style>
  <w:style w:type="paragraph" w:customStyle="1" w:styleId="rvps12">
    <w:name w:val="rvps12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DefaultParagraphFont"/>
    <w:rsid w:val="00D4464D"/>
    <w:rPr>
      <w:rFonts w:cs="Times New Roman"/>
      <w:rtl w:val="0"/>
      <w:cs w:val="0"/>
    </w:rPr>
  </w:style>
  <w:style w:type="paragraph" w:customStyle="1" w:styleId="rvps4">
    <w:name w:val="rvps4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login-buttonuser">
    <w:name w:val="login-button__user"/>
    <w:basedOn w:val="Normal"/>
    <w:uiPriority w:val="99"/>
    <w:rsid w:val="00B32BFF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zakon3.rada.gov.ua/laws/show/796-12" TargetMode="External" /><Relationship Id="rId6" Type="http://schemas.openxmlformats.org/officeDocument/2006/relationships/hyperlink" Target="https://zakon.rada.gov.ua/go/854-2016-%D0%BF" TargetMode="External" /><Relationship Id="rId7" Type="http://schemas.openxmlformats.org/officeDocument/2006/relationships/hyperlink" Target="http://zakon3.rada.gov.ua/laws/show/936-2005-%D0%BF" TargetMode="External" /><Relationship Id="rId8" Type="http://schemas.openxmlformats.org/officeDocument/2006/relationships/hyperlink" Target="https://zakon.rada.gov.ua/laws/show/z0680-12" TargetMode="External" /><Relationship Id="rId9" Type="http://schemas.openxmlformats.org/officeDocument/2006/relationships/hyperlink" Target="https://zakon.rada.gov.ua/laws/show/796-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405B9-F988-42B1-AF44-B0AB27EB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910</Words>
  <Characters>5190</Characters>
  <Application>Microsoft Office Word</Application>
  <DocSecurity>0</DocSecurity>
  <Lines>0</Lines>
  <Paragraphs>0</Paragraphs>
  <ScaleCrop>false</ScaleCrop>
  <Company>diakov.net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2</cp:revision>
  <cp:lastPrinted>2022-02-17T10:53:00Z</cp:lastPrinted>
  <dcterms:created xsi:type="dcterms:W3CDTF">2024-02-15T15:15:00Z</dcterms:created>
  <dcterms:modified xsi:type="dcterms:W3CDTF">2024-02-15T15:15:00Z</dcterms:modified>
</cp:coreProperties>
</file>