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54" w:rsidRPr="003B4866" w:rsidRDefault="005B3B13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76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</w:t>
      </w:r>
      <w:bookmarkStart w:id="0" w:name="_GoBack"/>
      <w:bookmarkEnd w:id="0"/>
      <w:r w:rsidRPr="003B4866">
        <w:rPr>
          <w:rFonts w:ascii="Times New Roman" w:hAnsi="Times New Roman" w:cs="Times New Roman"/>
        </w:rPr>
        <w:t>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927D54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D861D7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927D54" w:rsidRDefault="002145B6" w:rsidP="00927D5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3B7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01-</w:t>
            </w:r>
            <w:r w:rsidR="004A7F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4A7F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00236</w:t>
            </w:r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4B55" w:rsidRPr="001A1AA5" w:rsidRDefault="004A7F97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927D54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927D54" w:rsidRPr="00927D54" w:rsidRDefault="00927D54" w:rsidP="0092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927D54" w:rsidP="00927D5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D861D7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3B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927D54" w:rsidP="00E64B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3B7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3B718F" w:rsidRDefault="003B718F" w:rsidP="003B718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3B718F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D861D7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F97" w:rsidRPr="004A7F97" w:rsidRDefault="004A7F97" w:rsidP="00D861D7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after="0"/>
              <w:ind w:left="188" w:firstLine="0"/>
              <w:jc w:val="both"/>
              <w:rPr>
                <w:color w:val="000000"/>
                <w:lang w:val="uk-UA"/>
              </w:rPr>
            </w:pPr>
            <w:r w:rsidRPr="004A7F97">
              <w:rPr>
                <w:color w:val="000000"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</w:t>
            </w:r>
          </w:p>
          <w:p w:rsidR="004A7F97" w:rsidRPr="004A7F97" w:rsidRDefault="004A7F97" w:rsidP="00D861D7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after="0"/>
              <w:ind w:left="188" w:firstLine="0"/>
              <w:jc w:val="both"/>
              <w:rPr>
                <w:color w:val="000000"/>
                <w:lang w:val="uk-UA"/>
              </w:rPr>
            </w:pPr>
            <w:r w:rsidRPr="004A7F97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945148" w:rsidRPr="00CB1A7B" w:rsidRDefault="004A7F97" w:rsidP="00D861D7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before="0" w:beforeAutospacing="0" w:after="0" w:afterAutospacing="0"/>
              <w:ind w:left="188" w:firstLine="0"/>
              <w:jc w:val="both"/>
              <w:rPr>
                <w:lang w:val="uk-UA"/>
              </w:rPr>
            </w:pPr>
            <w:r w:rsidRPr="004A7F97">
              <w:rPr>
                <w:color w:val="000000"/>
                <w:lang w:val="uk-UA"/>
              </w:rPr>
              <w:t>Наказ Міністерства юстиції України від 10.06.2016 № 1657/5 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 юстиції України 10.06.2016 за № 839/28969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E12B9D" w:rsidRPr="00D861D7" w:rsidTr="0055738D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4A7F97" w:rsidRDefault="004A7F97" w:rsidP="00E12B9D">
            <w:pPr>
              <w:ind w:firstLine="22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 фізичної особи або юридичної особи, яка бажає отримати документи з реєстраційної справи юридичних осіб, фізичних осіб – підприємців та громадських формувань, або уповноваженої особи (далі – заявник)</w:t>
            </w:r>
          </w:p>
        </w:tc>
      </w:tr>
      <w:tr w:rsidR="00E12B9D" w:rsidRPr="00927D54" w:rsidTr="006A5114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F97" w:rsidRPr="004A7F97" w:rsidRDefault="004A7F97" w:rsidP="004A7F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Запит про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підприємця;</w:t>
            </w:r>
          </w:p>
          <w:p w:rsidR="004A7F97" w:rsidRPr="004A7F97" w:rsidRDefault="004A7F97" w:rsidP="004A7F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документ,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внесення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плати за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отримання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відповідних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4A7F97" w:rsidRPr="004A7F97" w:rsidRDefault="004A7F97" w:rsidP="004A7F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час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прийняття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запиту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пред’являє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пред’являє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паспорт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громадянина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демографічний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підтверджують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громадянство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посвідчують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спеціальний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статус».</w:t>
            </w:r>
          </w:p>
          <w:p w:rsidR="004A7F97" w:rsidRPr="004A7F97" w:rsidRDefault="004A7F97" w:rsidP="004A7F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заявником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є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іноземець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особа без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громадянства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документом,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особу, є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національний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дипломатичний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службовий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паспорт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іноземця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іноземця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 без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громадянства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E12B9D" w:rsidRPr="00E12B9D" w:rsidRDefault="004A7F97" w:rsidP="004A7F97">
            <w:pPr>
              <w:ind w:firstLine="2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)</w:t>
            </w:r>
          </w:p>
        </w:tc>
      </w:tr>
      <w:tr w:rsidR="00B4410E" w:rsidRPr="001A1AA5" w:rsidTr="00E12B9D">
        <w:trPr>
          <w:trHeight w:val="694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4A7F97" w:rsidRPr="004A7F97" w:rsidRDefault="004A7F97" w:rsidP="004A7F97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 паперовій формі запит подається заявником особисто.</w:t>
            </w:r>
          </w:p>
          <w:p w:rsidR="00B4410E" w:rsidRPr="001A1AA5" w:rsidRDefault="004A7F97" w:rsidP="004A7F97">
            <w:pPr>
              <w:ind w:firstLine="33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 електронній формі запит подається з використанням Єдиного державного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забезпечує, - через портал електронних сервісів*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F97" w:rsidRPr="004A7F97" w:rsidRDefault="004A7F97" w:rsidP="004A7F97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- підприємця, в паперовій формі справляється плата в розмірі 0,07 прожиткового мінімуму для працездатних осіб.</w:t>
            </w:r>
          </w:p>
          <w:p w:rsidR="004A7F97" w:rsidRPr="004A7F97" w:rsidRDefault="004A7F97" w:rsidP="004A7F97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- підприємця, в електронній формі справляється плата в розмірі 75 відсотків плати, встановленої за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- підприємця, в паперовій формі.</w:t>
            </w:r>
          </w:p>
          <w:p w:rsidR="00E30A7B" w:rsidRPr="001A1AA5" w:rsidRDefault="004A7F97" w:rsidP="004A7F97">
            <w:pPr>
              <w:ind w:firstLine="18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Плата справляється у відповідному розмірі від прожиткового мінімуму для працездатних осіб, встановленому законом на 01 січня календарного року, в якому подається запит про надання документів, що </w:t>
            </w:r>
            <w:r w:rsidRPr="004A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містяться в реєстраційній справі, та округлюється до найближчих 10 гривень</w:t>
            </w:r>
          </w:p>
        </w:tc>
      </w:tr>
      <w:tr w:rsidR="00E12B9D" w:rsidRPr="001A1AA5" w:rsidTr="000E2320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4A7F97" w:rsidP="00E12B9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927D54" w:rsidRPr="001A1AA5" w:rsidTr="00E500C0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4A7F97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927D5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4A7F97" w:rsidP="00E12B9D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Не подано документ,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внесення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плати за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отримання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відповідних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плата внесена не в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</w:p>
        </w:tc>
      </w:tr>
      <w:tr w:rsidR="004A7F97" w:rsidRPr="00D861D7" w:rsidTr="00D32E4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F97" w:rsidRPr="004A7F97" w:rsidRDefault="004A7F97" w:rsidP="004A7F97">
            <w:pPr>
              <w:pStyle w:val="aa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A7F97">
              <w:rPr>
                <w:sz w:val="24"/>
                <w:szCs w:val="24"/>
                <w:lang w:eastAsia="uk-UA"/>
              </w:rPr>
              <w:t>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4A7F97" w:rsidRPr="001A1AA5" w:rsidTr="00294217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F97" w:rsidRPr="001A1AA5" w:rsidRDefault="004A7F97" w:rsidP="004A7F9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F97" w:rsidRPr="004A7F97" w:rsidRDefault="004A7F97" w:rsidP="004A7F97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такий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самий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який</w:t>
            </w:r>
            <w:proofErr w:type="spellEnd"/>
            <w:r w:rsidRPr="004A7F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подано запит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FA2C45" w:rsidRPr="00927D54" w:rsidRDefault="00FA2C45" w:rsidP="00FA2C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</w:t>
      </w:r>
      <w:r w:rsidR="00927D54"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Default="00202C93">
      <w:pPr>
        <w:rPr>
          <w:noProof/>
          <w:lang w:val="uk-UA"/>
        </w:rPr>
      </w:pP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5A5E"/>
    <w:multiLevelType w:val="multilevel"/>
    <w:tmpl w:val="1B64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69BB"/>
    <w:multiLevelType w:val="multilevel"/>
    <w:tmpl w:val="139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446CF"/>
    <w:multiLevelType w:val="multilevel"/>
    <w:tmpl w:val="567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B4F80"/>
    <w:rsid w:val="000E757A"/>
    <w:rsid w:val="00164736"/>
    <w:rsid w:val="00182437"/>
    <w:rsid w:val="001A1AA5"/>
    <w:rsid w:val="00202C93"/>
    <w:rsid w:val="002145B6"/>
    <w:rsid w:val="00236C9E"/>
    <w:rsid w:val="002A5F0F"/>
    <w:rsid w:val="00397EF3"/>
    <w:rsid w:val="003B5A53"/>
    <w:rsid w:val="003B647F"/>
    <w:rsid w:val="003B718F"/>
    <w:rsid w:val="0045580E"/>
    <w:rsid w:val="00485E68"/>
    <w:rsid w:val="004A7F97"/>
    <w:rsid w:val="005B3B13"/>
    <w:rsid w:val="00624644"/>
    <w:rsid w:val="00626AF2"/>
    <w:rsid w:val="006C4AF2"/>
    <w:rsid w:val="006F6DEC"/>
    <w:rsid w:val="00712DFB"/>
    <w:rsid w:val="007552D0"/>
    <w:rsid w:val="00782CD7"/>
    <w:rsid w:val="007F575E"/>
    <w:rsid w:val="00927D54"/>
    <w:rsid w:val="00945148"/>
    <w:rsid w:val="009966E4"/>
    <w:rsid w:val="009A6CCE"/>
    <w:rsid w:val="009B5798"/>
    <w:rsid w:val="009E55C0"/>
    <w:rsid w:val="00B4410E"/>
    <w:rsid w:val="00B564F2"/>
    <w:rsid w:val="00BE6D2C"/>
    <w:rsid w:val="00C32D6A"/>
    <w:rsid w:val="00C80AAC"/>
    <w:rsid w:val="00CB1A7B"/>
    <w:rsid w:val="00D01A9C"/>
    <w:rsid w:val="00D204BD"/>
    <w:rsid w:val="00D2669B"/>
    <w:rsid w:val="00D31A59"/>
    <w:rsid w:val="00D861D7"/>
    <w:rsid w:val="00D924B7"/>
    <w:rsid w:val="00DF0B32"/>
    <w:rsid w:val="00E12B9D"/>
    <w:rsid w:val="00E30A7B"/>
    <w:rsid w:val="00E64B55"/>
    <w:rsid w:val="00EB11FD"/>
    <w:rsid w:val="00EB50EF"/>
    <w:rsid w:val="00F37844"/>
    <w:rsid w:val="00F4413B"/>
    <w:rsid w:val="00F919EB"/>
    <w:rsid w:val="00FA2C45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7CCCE7-FA44-49D1-AEDC-D607B20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927D54"/>
    <w:rPr>
      <w:shd w:val="clear" w:color="auto" w:fill="FFFFFF"/>
    </w:rPr>
  </w:style>
  <w:style w:type="paragraph" w:customStyle="1" w:styleId="a9">
    <w:name w:val="Другое"/>
    <w:basedOn w:val="a"/>
    <w:link w:val="a8"/>
    <w:rsid w:val="00927D54"/>
    <w:pPr>
      <w:widowControl w:val="0"/>
      <w:shd w:val="clear" w:color="auto" w:fill="FFFFFF"/>
      <w:spacing w:after="0" w:line="240" w:lineRule="auto"/>
      <w:ind w:firstLine="240"/>
    </w:pPr>
  </w:style>
  <w:style w:type="paragraph" w:styleId="aa">
    <w:name w:val="List Paragraph"/>
    <w:basedOn w:val="a"/>
    <w:uiPriority w:val="34"/>
    <w:qFormat/>
    <w:rsid w:val="00927D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AFF2-3B85-4DD8-B4E8-7E4B92F5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2024-01-08T07:54:00Z</dcterms:created>
  <dcterms:modified xsi:type="dcterms:W3CDTF">2024-01-09T09:00:00Z</dcterms:modified>
</cp:coreProperties>
</file>